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B961" w14:textId="6DAC84EA" w:rsidR="00CD3CEF" w:rsidRDefault="0091570F" w:rsidP="00CD3CEF">
      <w:pPr>
        <w:spacing w:before="240"/>
        <w:rPr>
          <w:rFonts w:ascii="Arial" w:hAnsi="Arial" w:cs="Arial"/>
          <w:b/>
          <w:bCs/>
          <w:color w:val="3832F1" w:themeColor="accent2"/>
          <w:sz w:val="52"/>
          <w:szCs w:val="52"/>
        </w:rPr>
      </w:pPr>
      <w:bookmarkStart w:id="0" w:name="_Hlk152074887"/>
      <w:r>
        <w:rPr>
          <w:rFonts w:ascii="Arial" w:hAnsi="Arial" w:cs="Arial"/>
          <w:b/>
          <w:bCs/>
          <w:color w:val="3832F1" w:themeColor="accent2"/>
          <w:sz w:val="52"/>
          <w:szCs w:val="52"/>
        </w:rPr>
        <w:t xml:space="preserve">BHBIA </w:t>
      </w:r>
      <w:r w:rsidR="00937E47">
        <w:rPr>
          <w:rFonts w:ascii="Arial" w:hAnsi="Arial" w:cs="Arial"/>
          <w:b/>
          <w:bCs/>
          <w:color w:val="3832F1" w:themeColor="accent2"/>
          <w:sz w:val="52"/>
          <w:szCs w:val="52"/>
        </w:rPr>
        <w:t xml:space="preserve">Expenses and Honoraria </w:t>
      </w:r>
      <w:r>
        <w:rPr>
          <w:rFonts w:ascii="Arial" w:hAnsi="Arial" w:cs="Arial"/>
          <w:b/>
          <w:bCs/>
          <w:color w:val="3832F1" w:themeColor="accent2"/>
          <w:sz w:val="52"/>
          <w:szCs w:val="52"/>
        </w:rPr>
        <w:t>Policy</w:t>
      </w:r>
    </w:p>
    <w:p w14:paraId="05D56692"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This policy applies to all members involved in the organisation and running of BHBIA initiatives and activities – including the Board, Committees and those members convening or speaking at BHBIA training courses.</w:t>
      </w:r>
    </w:p>
    <w:bookmarkEnd w:id="0"/>
    <w:p w14:paraId="66CC9B65" w14:textId="77777777" w:rsidR="001250DE" w:rsidRPr="004837EF" w:rsidRDefault="001250DE" w:rsidP="001250DE">
      <w:pPr>
        <w:spacing w:before="240"/>
        <w:rPr>
          <w:rFonts w:ascii="Arial" w:hAnsi="Arial" w:cs="Arial"/>
          <w:b/>
          <w:bCs/>
          <w:color w:val="001889" w:themeColor="accent1"/>
        </w:rPr>
      </w:pPr>
      <w:r w:rsidRPr="004837EF">
        <w:rPr>
          <w:rFonts w:ascii="Arial" w:hAnsi="Arial" w:cs="Arial"/>
          <w:b/>
          <w:bCs/>
          <w:color w:val="001889" w:themeColor="accent1"/>
        </w:rPr>
        <w:t>Honoraria</w:t>
      </w:r>
    </w:p>
    <w:p w14:paraId="52725FE9"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As the BHBIA is a ‘not for profit’ organisation, it is expected that member companies (or other organisations operating in the field of business intelligence) will provide their time and expertise free of charge – i.e. they will not be offered any fee, whether in the form of a direct payment, a donation to another organisation, or on any other basis.</w:t>
      </w:r>
    </w:p>
    <w:p w14:paraId="08D64EE8"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Running one of our sessions provides organisations with an opportunity to raise their profile amongst BHBIA members and be associated with best practice in business intelligence.</w:t>
      </w:r>
    </w:p>
    <w:p w14:paraId="209DC4EB"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Exceptions to this:</w:t>
      </w:r>
    </w:p>
    <w:p w14:paraId="5F982C68" w14:textId="77777777" w:rsidR="001250DE" w:rsidRPr="003A257A" w:rsidRDefault="001250DE" w:rsidP="001250DE">
      <w:pPr>
        <w:pStyle w:val="ListParagraph"/>
        <w:numPr>
          <w:ilvl w:val="0"/>
          <w:numId w:val="15"/>
        </w:numPr>
        <w:spacing w:before="240"/>
        <w:rPr>
          <w:rFonts w:ascii="Arial" w:hAnsi="Arial" w:cs="Arial"/>
          <w:color w:val="001889" w:themeColor="accent1"/>
          <w:sz w:val="20"/>
          <w:szCs w:val="20"/>
        </w:rPr>
      </w:pPr>
      <w:r w:rsidRPr="003A257A">
        <w:rPr>
          <w:rFonts w:ascii="Arial" w:hAnsi="Arial" w:cs="Arial"/>
          <w:color w:val="001889" w:themeColor="accent1"/>
          <w:sz w:val="20"/>
          <w:szCs w:val="20"/>
        </w:rPr>
        <w:t>We do pay fees to professional training providers who we have approached to run training courses for us.</w:t>
      </w:r>
    </w:p>
    <w:p w14:paraId="6BEC8518" w14:textId="77777777" w:rsidR="001250DE" w:rsidRPr="003A257A" w:rsidRDefault="001250DE" w:rsidP="001250DE">
      <w:pPr>
        <w:pStyle w:val="ListParagraph"/>
        <w:numPr>
          <w:ilvl w:val="0"/>
          <w:numId w:val="15"/>
        </w:num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Payment of honoraria to external guest speakers will also be considered on request. </w:t>
      </w:r>
    </w:p>
    <w:p w14:paraId="6BBAD876" w14:textId="77777777" w:rsidR="001250DE" w:rsidRPr="003A257A" w:rsidRDefault="001250DE" w:rsidP="004837EF">
      <w:pPr>
        <w:pStyle w:val="ListParagraph"/>
        <w:numPr>
          <w:ilvl w:val="1"/>
          <w:numId w:val="15"/>
        </w:numPr>
        <w:spacing w:before="240"/>
        <w:rPr>
          <w:rFonts w:ascii="Arial" w:hAnsi="Arial" w:cs="Arial"/>
          <w:color w:val="001889" w:themeColor="accent1"/>
          <w:sz w:val="20"/>
          <w:szCs w:val="20"/>
        </w:rPr>
      </w:pPr>
      <w:r w:rsidRPr="003A257A">
        <w:rPr>
          <w:rFonts w:ascii="Arial" w:hAnsi="Arial" w:cs="Arial"/>
          <w:color w:val="001889" w:themeColor="accent1"/>
          <w:sz w:val="20"/>
          <w:szCs w:val="20"/>
        </w:rPr>
        <w:t>Requests will be reviewed on a case-by-case basis and must be approved by the Treasurer, unless the sums proposed are within the prearranged speaker budget for an event, in which case the conveners may use their discretion.</w:t>
      </w:r>
    </w:p>
    <w:p w14:paraId="7A0F12B0" w14:textId="77777777" w:rsidR="001250DE" w:rsidRPr="003A257A" w:rsidRDefault="001250DE" w:rsidP="004837EF">
      <w:pPr>
        <w:pStyle w:val="ListParagraph"/>
        <w:numPr>
          <w:ilvl w:val="1"/>
          <w:numId w:val="15"/>
        </w:numPr>
        <w:spacing w:before="240"/>
        <w:rPr>
          <w:rFonts w:ascii="Arial" w:hAnsi="Arial" w:cs="Arial"/>
          <w:color w:val="001889" w:themeColor="accent1"/>
          <w:sz w:val="20"/>
          <w:szCs w:val="20"/>
        </w:rPr>
      </w:pPr>
      <w:r w:rsidRPr="003A257A">
        <w:rPr>
          <w:rFonts w:ascii="Arial" w:hAnsi="Arial" w:cs="Arial"/>
          <w:color w:val="001889" w:themeColor="accent1"/>
          <w:sz w:val="20"/>
          <w:szCs w:val="20"/>
        </w:rPr>
        <w:t>Sometimes a guest speaker may request a donation to a charity they support, in lieu of an honorarium. This is acceptable but note that the same considerations around the appropriateness and level of payment will apply as would be the case if it was a direct payment, and the recipient organisation must be registered with the Charity Commission.</w:t>
      </w:r>
    </w:p>
    <w:p w14:paraId="2F4CD277" w14:textId="77777777" w:rsidR="001250DE" w:rsidRPr="004837EF" w:rsidRDefault="001250DE" w:rsidP="001250DE">
      <w:pPr>
        <w:spacing w:before="240"/>
        <w:rPr>
          <w:rFonts w:ascii="Arial" w:hAnsi="Arial" w:cs="Arial"/>
          <w:b/>
          <w:bCs/>
          <w:color w:val="001889" w:themeColor="accent1"/>
        </w:rPr>
      </w:pPr>
      <w:r w:rsidRPr="004837EF">
        <w:rPr>
          <w:rFonts w:ascii="Arial" w:hAnsi="Arial" w:cs="Arial"/>
          <w:b/>
          <w:bCs/>
          <w:color w:val="001889" w:themeColor="accent1"/>
        </w:rPr>
        <w:t>Expenses</w:t>
      </w:r>
    </w:p>
    <w:p w14:paraId="3132E1B1"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In addition, it is expected that members will not usually claim expenses from the BHBIA and that involvement in activities is ‘self’ funded.  </w:t>
      </w:r>
    </w:p>
    <w:p w14:paraId="08092190" w14:textId="77777777" w:rsidR="001250DE" w:rsidRPr="00243239" w:rsidRDefault="001250DE" w:rsidP="001250DE">
      <w:pPr>
        <w:spacing w:before="240"/>
        <w:rPr>
          <w:rFonts w:ascii="Arial" w:hAnsi="Arial" w:cs="Arial"/>
          <w:b/>
          <w:bCs/>
          <w:i/>
          <w:iCs/>
          <w:color w:val="001889" w:themeColor="accent1"/>
          <w:sz w:val="20"/>
          <w:szCs w:val="20"/>
        </w:rPr>
      </w:pPr>
      <w:r w:rsidRPr="003A257A">
        <w:rPr>
          <w:rFonts w:ascii="Arial" w:hAnsi="Arial" w:cs="Arial"/>
          <w:color w:val="001889" w:themeColor="accent1"/>
          <w:sz w:val="20"/>
          <w:szCs w:val="20"/>
        </w:rPr>
        <w:t xml:space="preserve">However, in exceptional circumstances, claims for expenses will be considered. </w:t>
      </w:r>
      <w:r w:rsidRPr="00243239">
        <w:rPr>
          <w:rFonts w:ascii="Arial" w:hAnsi="Arial" w:cs="Arial"/>
          <w:b/>
          <w:bCs/>
          <w:i/>
          <w:iCs/>
          <w:color w:val="001889" w:themeColor="accent1"/>
          <w:sz w:val="20"/>
          <w:szCs w:val="20"/>
        </w:rPr>
        <w:t xml:space="preserve">All claims must be agreed in principle with the Treasurer in </w:t>
      </w:r>
      <w:proofErr w:type="gramStart"/>
      <w:r w:rsidRPr="00243239">
        <w:rPr>
          <w:rFonts w:ascii="Arial" w:hAnsi="Arial" w:cs="Arial"/>
          <w:b/>
          <w:bCs/>
          <w:i/>
          <w:iCs/>
          <w:color w:val="001889" w:themeColor="accent1"/>
          <w:sz w:val="20"/>
          <w:szCs w:val="20"/>
        </w:rPr>
        <w:t>advance</w:t>
      </w:r>
      <w:proofErr w:type="gramEnd"/>
    </w:p>
    <w:p w14:paraId="6159581E"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Exceptional circumstances may include, but are not limited to: </w:t>
      </w:r>
    </w:p>
    <w:p w14:paraId="3B9669B0" w14:textId="77777777" w:rsidR="001250DE" w:rsidRPr="003A257A" w:rsidRDefault="001250DE" w:rsidP="003A257A">
      <w:pPr>
        <w:pStyle w:val="ListParagraph"/>
        <w:numPr>
          <w:ilvl w:val="0"/>
          <w:numId w:val="16"/>
        </w:num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Long distance travel (over 100 miles each way) </w:t>
      </w:r>
      <w:proofErr w:type="gramStart"/>
      <w:r w:rsidRPr="003A257A">
        <w:rPr>
          <w:rFonts w:ascii="Arial" w:hAnsi="Arial" w:cs="Arial"/>
          <w:color w:val="001889" w:themeColor="accent1"/>
          <w:sz w:val="20"/>
          <w:szCs w:val="20"/>
        </w:rPr>
        <w:t>as a consequence of</w:t>
      </w:r>
      <w:proofErr w:type="gramEnd"/>
      <w:r w:rsidRPr="003A257A">
        <w:rPr>
          <w:rFonts w:ascii="Arial" w:hAnsi="Arial" w:cs="Arial"/>
          <w:color w:val="001889" w:themeColor="accent1"/>
          <w:sz w:val="20"/>
          <w:szCs w:val="20"/>
        </w:rPr>
        <w:t xml:space="preserve"> where the member’s home/workplace is located relative to the event venue (standard class rail fare or mileage at the prevailing rate set by HMRC)</w:t>
      </w:r>
    </w:p>
    <w:p w14:paraId="14616945" w14:textId="77777777" w:rsidR="001250DE" w:rsidRDefault="001250DE" w:rsidP="003A257A">
      <w:pPr>
        <w:pStyle w:val="ListParagraph"/>
        <w:numPr>
          <w:ilvl w:val="0"/>
          <w:numId w:val="16"/>
        </w:num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Members attending regular meetings on behalf of the BHBIA who cannot claim through their company </w:t>
      </w:r>
      <w:proofErr w:type="gramStart"/>
      <w:r w:rsidRPr="003A257A">
        <w:rPr>
          <w:rFonts w:ascii="Arial" w:hAnsi="Arial" w:cs="Arial"/>
          <w:color w:val="001889" w:themeColor="accent1"/>
          <w:sz w:val="20"/>
          <w:szCs w:val="20"/>
        </w:rPr>
        <w:t>expenses</w:t>
      </w:r>
      <w:proofErr w:type="gramEnd"/>
    </w:p>
    <w:p w14:paraId="2D739B70" w14:textId="77777777" w:rsidR="004520F3" w:rsidRPr="003A257A" w:rsidRDefault="004520F3" w:rsidP="004520F3">
      <w:pPr>
        <w:pStyle w:val="ListParagraph"/>
        <w:spacing w:before="240"/>
        <w:rPr>
          <w:rFonts w:ascii="Arial" w:hAnsi="Arial" w:cs="Arial"/>
          <w:color w:val="001889" w:themeColor="accent1"/>
          <w:sz w:val="20"/>
          <w:szCs w:val="20"/>
        </w:rPr>
      </w:pPr>
    </w:p>
    <w:p w14:paraId="2CE28A76" w14:textId="77777777" w:rsidR="00524D8F" w:rsidRPr="00B639A2" w:rsidRDefault="00524D8F" w:rsidP="00B639A2">
      <w:pPr>
        <w:pStyle w:val="ListParagraph"/>
        <w:spacing w:before="240"/>
        <w:rPr>
          <w:rFonts w:ascii="Arial" w:hAnsi="Arial" w:cs="Arial"/>
          <w:color w:val="001889" w:themeColor="accent1"/>
          <w:sz w:val="20"/>
          <w:szCs w:val="20"/>
        </w:rPr>
      </w:pPr>
    </w:p>
    <w:p w14:paraId="43D87EA9" w14:textId="77777777" w:rsidR="00524D8F" w:rsidRDefault="00524D8F" w:rsidP="00524D8F">
      <w:pPr>
        <w:pStyle w:val="ListParagraph"/>
        <w:spacing w:before="240"/>
        <w:rPr>
          <w:rFonts w:ascii="Arial" w:hAnsi="Arial" w:cs="Arial"/>
          <w:color w:val="001889" w:themeColor="accent1"/>
          <w:sz w:val="20"/>
          <w:szCs w:val="20"/>
        </w:rPr>
      </w:pPr>
    </w:p>
    <w:p w14:paraId="3EF392D9" w14:textId="77777777" w:rsidR="00524D8F" w:rsidRDefault="00524D8F" w:rsidP="00524D8F">
      <w:pPr>
        <w:pStyle w:val="ListParagraph"/>
        <w:spacing w:before="240"/>
        <w:rPr>
          <w:rFonts w:ascii="Arial" w:hAnsi="Arial" w:cs="Arial"/>
          <w:color w:val="001889" w:themeColor="accent1"/>
          <w:sz w:val="20"/>
          <w:szCs w:val="20"/>
        </w:rPr>
      </w:pPr>
    </w:p>
    <w:p w14:paraId="781037DB" w14:textId="1C31F6DF" w:rsidR="001250DE" w:rsidRPr="003A257A" w:rsidRDefault="001250DE" w:rsidP="003A257A">
      <w:pPr>
        <w:pStyle w:val="ListParagraph"/>
        <w:numPr>
          <w:ilvl w:val="0"/>
          <w:numId w:val="16"/>
        </w:num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Limited other expenses such as refreshments (tea/coffee/sandwiches) or office expenses (stationery/photocopying/telephone) relating to a BHBIA meeting, where these are essential, have not been directly arranged by the BHBIA and cannot be claimed through the member’s company </w:t>
      </w:r>
      <w:proofErr w:type="gramStart"/>
      <w:r w:rsidRPr="003A257A">
        <w:rPr>
          <w:rFonts w:ascii="Arial" w:hAnsi="Arial" w:cs="Arial"/>
          <w:color w:val="001889" w:themeColor="accent1"/>
          <w:sz w:val="20"/>
          <w:szCs w:val="20"/>
        </w:rPr>
        <w:t>expenses</w:t>
      </w:r>
      <w:proofErr w:type="gramEnd"/>
    </w:p>
    <w:p w14:paraId="213BCAD1" w14:textId="77777777" w:rsidR="001250DE" w:rsidRPr="004837EF" w:rsidRDefault="001250DE" w:rsidP="004837EF">
      <w:pPr>
        <w:pStyle w:val="ListParagraph"/>
        <w:numPr>
          <w:ilvl w:val="0"/>
          <w:numId w:val="17"/>
        </w:numPr>
        <w:spacing w:before="240"/>
        <w:rPr>
          <w:rFonts w:ascii="Arial" w:hAnsi="Arial" w:cs="Arial"/>
          <w:color w:val="001889" w:themeColor="accent1"/>
          <w:sz w:val="20"/>
          <w:szCs w:val="20"/>
        </w:rPr>
      </w:pPr>
      <w:r w:rsidRPr="004837EF">
        <w:rPr>
          <w:rFonts w:ascii="Arial" w:hAnsi="Arial" w:cs="Arial"/>
          <w:color w:val="001889" w:themeColor="accent1"/>
          <w:sz w:val="20"/>
          <w:szCs w:val="20"/>
        </w:rPr>
        <w:t>Expenses incurred by professional trainers or external guest speakers (again, conveners may use their discretion here, within the agreed event budget)</w:t>
      </w:r>
    </w:p>
    <w:p w14:paraId="0DE069F4" w14:textId="77777777" w:rsidR="001250DE" w:rsidRPr="004520F3" w:rsidRDefault="001250DE" w:rsidP="001250DE">
      <w:pPr>
        <w:spacing w:before="240"/>
        <w:rPr>
          <w:rFonts w:ascii="Arial" w:hAnsi="Arial" w:cs="Arial"/>
          <w:b/>
          <w:bCs/>
          <w:i/>
          <w:iCs/>
          <w:color w:val="001889" w:themeColor="accent1"/>
          <w:sz w:val="20"/>
          <w:szCs w:val="20"/>
        </w:rPr>
      </w:pPr>
      <w:r w:rsidRPr="004520F3">
        <w:rPr>
          <w:rFonts w:ascii="Arial" w:hAnsi="Arial" w:cs="Arial"/>
          <w:b/>
          <w:bCs/>
          <w:i/>
          <w:iCs/>
          <w:color w:val="001889" w:themeColor="accent1"/>
          <w:sz w:val="20"/>
          <w:szCs w:val="20"/>
        </w:rPr>
        <w:t>Honoraria or expenses specific to training courses/</w:t>
      </w:r>
      <w:proofErr w:type="gramStart"/>
      <w:r w:rsidRPr="004520F3">
        <w:rPr>
          <w:rFonts w:ascii="Arial" w:hAnsi="Arial" w:cs="Arial"/>
          <w:b/>
          <w:bCs/>
          <w:i/>
          <w:iCs/>
          <w:color w:val="001889" w:themeColor="accent1"/>
          <w:sz w:val="20"/>
          <w:szCs w:val="20"/>
        </w:rPr>
        <w:t>events</w:t>
      </w:r>
      <w:proofErr w:type="gramEnd"/>
    </w:p>
    <w:p w14:paraId="754D67B1"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If honoraria or expenses are anticipated for external speakers (or in any other exceptional circumstances as outlined above) at a BHBIA event or training course, this should be indicated at the proposal stage. A budget for the event will then be agreed with the treasurer in advance.</w:t>
      </w:r>
    </w:p>
    <w:p w14:paraId="358FD807"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The BHBIA will cover the costs associated with room hire, appropriate meals and refreshments and will usually make all these arrangements directly with the venue, in addition to providing all the administration needed for all events.</w:t>
      </w:r>
    </w:p>
    <w:p w14:paraId="6A5F5F94"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For training courses with an overnight stay, meals and accommodation will be offered to the course organisers/conveners.</w:t>
      </w:r>
    </w:p>
    <w:p w14:paraId="67E2A534" w14:textId="77777777" w:rsidR="001250DE" w:rsidRPr="004520F3" w:rsidRDefault="001250DE" w:rsidP="001250DE">
      <w:pPr>
        <w:spacing w:before="240"/>
        <w:rPr>
          <w:rFonts w:ascii="Arial" w:hAnsi="Arial" w:cs="Arial"/>
          <w:b/>
          <w:bCs/>
          <w:i/>
          <w:iCs/>
          <w:color w:val="001889" w:themeColor="accent1"/>
          <w:sz w:val="20"/>
          <w:szCs w:val="20"/>
        </w:rPr>
      </w:pPr>
      <w:r w:rsidRPr="004520F3">
        <w:rPr>
          <w:rFonts w:ascii="Arial" w:hAnsi="Arial" w:cs="Arial"/>
          <w:b/>
          <w:bCs/>
          <w:i/>
          <w:iCs/>
          <w:color w:val="001889" w:themeColor="accent1"/>
          <w:sz w:val="20"/>
          <w:szCs w:val="20"/>
        </w:rPr>
        <w:t>Contract Staff</w:t>
      </w:r>
    </w:p>
    <w:p w14:paraId="7CE8A011"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Travel expenses (standard class rail fare or mileage at the prevailing rate set by HMRC) and office expenses (stationery/photocopying/telephone) can be claimed as incurred or as agreed in the supplier’s contract.</w:t>
      </w:r>
    </w:p>
    <w:p w14:paraId="0351A6C3"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Other expenses should be agreed with the treasurer in advance.</w:t>
      </w:r>
    </w:p>
    <w:p w14:paraId="6E77409B" w14:textId="77777777" w:rsidR="001250DE" w:rsidRPr="003A257A" w:rsidRDefault="001250DE" w:rsidP="001250DE">
      <w:pPr>
        <w:spacing w:before="240"/>
        <w:rPr>
          <w:rFonts w:ascii="Arial" w:hAnsi="Arial" w:cs="Arial"/>
          <w:color w:val="001889" w:themeColor="accent1"/>
          <w:sz w:val="20"/>
          <w:szCs w:val="20"/>
        </w:rPr>
      </w:pPr>
    </w:p>
    <w:p w14:paraId="6FF67C3C" w14:textId="77777777" w:rsidR="001250DE" w:rsidRPr="004520F3" w:rsidRDefault="001250DE" w:rsidP="001250DE">
      <w:pPr>
        <w:spacing w:before="240"/>
        <w:rPr>
          <w:rFonts w:ascii="Arial" w:hAnsi="Arial" w:cs="Arial"/>
          <w:b/>
          <w:bCs/>
          <w:i/>
          <w:iCs/>
          <w:color w:val="001889" w:themeColor="accent1"/>
          <w:sz w:val="20"/>
          <w:szCs w:val="20"/>
        </w:rPr>
      </w:pPr>
      <w:r w:rsidRPr="004520F3">
        <w:rPr>
          <w:rFonts w:ascii="Arial" w:hAnsi="Arial" w:cs="Arial"/>
          <w:b/>
          <w:bCs/>
          <w:i/>
          <w:iCs/>
          <w:color w:val="001889" w:themeColor="accent1"/>
          <w:sz w:val="20"/>
          <w:szCs w:val="20"/>
        </w:rPr>
        <w:t>How to Claim Expenses</w:t>
      </w:r>
    </w:p>
    <w:p w14:paraId="5E08F95D" w14:textId="77777777" w:rsidR="001250DE" w:rsidRPr="003A257A" w:rsidRDefault="001250DE" w:rsidP="001250DE">
      <w:pPr>
        <w:spacing w:before="240"/>
        <w:rPr>
          <w:rFonts w:ascii="Arial" w:hAnsi="Arial" w:cs="Arial"/>
          <w:color w:val="001889" w:themeColor="accent1"/>
          <w:sz w:val="20"/>
          <w:szCs w:val="20"/>
        </w:rPr>
      </w:pPr>
      <w:proofErr w:type="gramStart"/>
      <w:r w:rsidRPr="003A257A">
        <w:rPr>
          <w:rFonts w:ascii="Arial" w:hAnsi="Arial" w:cs="Arial"/>
          <w:color w:val="001889" w:themeColor="accent1"/>
          <w:sz w:val="20"/>
          <w:szCs w:val="20"/>
        </w:rPr>
        <w:t>In order to</w:t>
      </w:r>
      <w:proofErr w:type="gramEnd"/>
      <w:r w:rsidRPr="003A257A">
        <w:rPr>
          <w:rFonts w:ascii="Arial" w:hAnsi="Arial" w:cs="Arial"/>
          <w:color w:val="001889" w:themeColor="accent1"/>
          <w:sz w:val="20"/>
          <w:szCs w:val="20"/>
        </w:rPr>
        <w:t xml:space="preserve"> claim expenses, please complete the form below showing expenses incurred supported by original receipts (or scanned copies) or other suitable proof of expense.</w:t>
      </w:r>
    </w:p>
    <w:p w14:paraId="19535076"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All expenses should be clearly outlined on the form describing each expense and reasons for it, the </w:t>
      </w:r>
      <w:proofErr w:type="gramStart"/>
      <w:r w:rsidRPr="003A257A">
        <w:rPr>
          <w:rFonts w:ascii="Arial" w:hAnsi="Arial" w:cs="Arial"/>
          <w:color w:val="001889" w:themeColor="accent1"/>
          <w:sz w:val="20"/>
          <w:szCs w:val="20"/>
        </w:rPr>
        <w:t>date</w:t>
      </w:r>
      <w:proofErr w:type="gramEnd"/>
      <w:r w:rsidRPr="003A257A">
        <w:rPr>
          <w:rFonts w:ascii="Arial" w:hAnsi="Arial" w:cs="Arial"/>
          <w:color w:val="001889" w:themeColor="accent1"/>
          <w:sz w:val="20"/>
          <w:szCs w:val="20"/>
        </w:rPr>
        <w:t xml:space="preserve"> and the amount. </w:t>
      </w:r>
    </w:p>
    <w:p w14:paraId="2C427305"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All expense claims must be submitted within 1 month of the expense being incurred.</w:t>
      </w:r>
    </w:p>
    <w:p w14:paraId="0C434A7B"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Expenses incurred in August and September of any year should be claimed, wherever possible prior to 30th September of that year.</w:t>
      </w:r>
    </w:p>
    <w:p w14:paraId="0C8D04FD" w14:textId="77777777" w:rsidR="001250DE"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BHBIA’s preferred method of payment is by BACS so please include your bank details on the form if possible.</w:t>
      </w:r>
    </w:p>
    <w:p w14:paraId="2DBCEE9C" w14:textId="4EF45603" w:rsidR="0091570F" w:rsidRPr="003A257A" w:rsidRDefault="001250DE" w:rsidP="001250DE">
      <w:pPr>
        <w:spacing w:before="240"/>
        <w:rPr>
          <w:rFonts w:ascii="Arial" w:hAnsi="Arial" w:cs="Arial"/>
          <w:color w:val="001889" w:themeColor="accent1"/>
          <w:sz w:val="20"/>
          <w:szCs w:val="20"/>
        </w:rPr>
      </w:pPr>
      <w:r w:rsidRPr="003A257A">
        <w:rPr>
          <w:rFonts w:ascii="Arial" w:hAnsi="Arial" w:cs="Arial"/>
          <w:color w:val="001889" w:themeColor="accent1"/>
          <w:sz w:val="20"/>
          <w:szCs w:val="20"/>
        </w:rPr>
        <w:t xml:space="preserve">Expense forms and supporting receipts should be sent to BHBIA, via email </w:t>
      </w:r>
      <w:hyperlink r:id="rId7" w:history="1">
        <w:r w:rsidR="00282920" w:rsidRPr="00282920">
          <w:rPr>
            <w:rStyle w:val="Hyperlink"/>
            <w:rFonts w:ascii="Arial" w:hAnsi="Arial" w:cs="Arial"/>
            <w:color w:val="391EF1"/>
            <w:sz w:val="20"/>
            <w:szCs w:val="20"/>
          </w:rPr>
          <w:t>admin@bhbia.org.uk</w:t>
        </w:r>
      </w:hyperlink>
      <w:r w:rsidR="0091570F" w:rsidRPr="003A257A">
        <w:rPr>
          <w:rFonts w:ascii="Arial" w:hAnsi="Arial" w:cs="Arial"/>
          <w:color w:val="001889" w:themeColor="accent1"/>
          <w:sz w:val="20"/>
          <w:szCs w:val="20"/>
        </w:rPr>
        <w:t>.</w:t>
      </w:r>
    </w:p>
    <w:p w14:paraId="441AB41C" w14:textId="77777777" w:rsidR="0091570F" w:rsidRDefault="0091570F" w:rsidP="0091570F">
      <w:pPr>
        <w:spacing w:before="240"/>
        <w:rPr>
          <w:rFonts w:ascii="Arial" w:hAnsi="Arial" w:cs="Arial"/>
          <w:color w:val="001889" w:themeColor="accent1"/>
          <w:sz w:val="20"/>
          <w:szCs w:val="20"/>
        </w:rPr>
      </w:pPr>
    </w:p>
    <w:p w14:paraId="772375C8" w14:textId="1F7960FF" w:rsidR="00282920" w:rsidRPr="001250DE" w:rsidRDefault="00282920" w:rsidP="0091570F">
      <w:pPr>
        <w:spacing w:before="240"/>
        <w:rPr>
          <w:rFonts w:ascii="Arial" w:hAnsi="Arial" w:cs="Arial"/>
          <w:color w:val="001889" w:themeColor="accent1"/>
          <w:sz w:val="20"/>
          <w:szCs w:val="20"/>
        </w:rPr>
      </w:pPr>
      <w:r>
        <w:rPr>
          <w:rFonts w:ascii="Arial" w:hAnsi="Arial" w:cs="Arial"/>
          <w:color w:val="001889" w:themeColor="accent1"/>
          <w:sz w:val="20"/>
          <w:szCs w:val="20"/>
        </w:rPr>
        <w:t>Last updated February 2023</w:t>
      </w:r>
    </w:p>
    <w:p w14:paraId="0E8AE8E9" w14:textId="77777777" w:rsidR="00282920" w:rsidRDefault="00282920" w:rsidP="0091570F">
      <w:pPr>
        <w:spacing w:before="240"/>
        <w:rPr>
          <w:rFonts w:ascii="Arial" w:hAnsi="Arial" w:cs="Arial"/>
          <w:color w:val="001889" w:themeColor="accent1"/>
          <w:sz w:val="20"/>
          <w:szCs w:val="20"/>
        </w:rPr>
        <w:sectPr w:rsidR="00282920" w:rsidSect="000C2AA1">
          <w:footerReference w:type="default" r:id="rId8"/>
          <w:headerReference w:type="first" r:id="rId9"/>
          <w:footerReference w:type="first" r:id="rId10"/>
          <w:pgSz w:w="11906" w:h="16838"/>
          <w:pgMar w:top="1440" w:right="1440" w:bottom="1440" w:left="1440" w:header="283" w:footer="283" w:gutter="0"/>
          <w:cols w:space="708"/>
          <w:titlePg/>
          <w:docGrid w:linePitch="360"/>
        </w:sectPr>
      </w:pPr>
    </w:p>
    <w:p w14:paraId="42EC3DFC" w14:textId="01FB6C93" w:rsidR="00AE1F1C" w:rsidRDefault="00AE1F1C" w:rsidP="006C6067">
      <w:pPr>
        <w:rPr>
          <w:rFonts w:ascii="Arial" w:hAnsi="Arial" w:cs="Arial"/>
          <w:b/>
          <w:bCs/>
          <w:color w:val="3832F1" w:themeColor="accent2"/>
          <w:sz w:val="52"/>
          <w:szCs w:val="52"/>
        </w:rPr>
      </w:pPr>
      <w:r>
        <w:rPr>
          <w:rFonts w:ascii="Arial" w:hAnsi="Arial" w:cs="Arial"/>
          <w:b/>
          <w:bCs/>
          <w:color w:val="3832F1" w:themeColor="accent2"/>
          <w:sz w:val="52"/>
          <w:szCs w:val="52"/>
        </w:rPr>
        <w:lastRenderedPageBreak/>
        <w:t>BHBIA Expenses</w:t>
      </w:r>
    </w:p>
    <w:p w14:paraId="074209A5" w14:textId="77777777" w:rsidR="00E75EF9" w:rsidRDefault="00E75EF9" w:rsidP="00E75EF9">
      <w:pPr>
        <w:spacing w:after="200" w:line="276" w:lineRule="auto"/>
        <w:rPr>
          <w:rFonts w:ascii="Arial" w:eastAsia="Calibri" w:hAnsi="Arial" w:cs="Arial"/>
          <w:b/>
          <w:kern w:val="0"/>
          <w:sz w:val="20"/>
          <w:szCs w:val="22"/>
          <w14:ligatures w14:val="none"/>
        </w:rPr>
      </w:pPr>
    </w:p>
    <w:p w14:paraId="0FAAD13D" w14:textId="17C54DB0" w:rsidR="00E75EF9" w:rsidRDefault="00E75EF9" w:rsidP="00E75EF9">
      <w:pPr>
        <w:spacing w:after="200" w:line="276" w:lineRule="auto"/>
        <w:ind w:right="-643"/>
        <w:rPr>
          <w:rFonts w:ascii="Arial" w:eastAsia="Calibri" w:hAnsi="Arial" w:cs="Arial"/>
          <w:color w:val="001889"/>
          <w:kern w:val="0"/>
          <w:sz w:val="20"/>
          <w:szCs w:val="22"/>
          <w14:ligatures w14:val="none"/>
        </w:rPr>
      </w:pPr>
      <w:r w:rsidRPr="00E75EF9">
        <w:rPr>
          <w:rFonts w:ascii="Arial" w:eastAsia="Calibri" w:hAnsi="Arial" w:cs="Arial"/>
          <w:b/>
          <w:color w:val="001889"/>
          <w:kern w:val="0"/>
          <w:sz w:val="20"/>
          <w:szCs w:val="22"/>
          <w14:ligatures w14:val="none"/>
        </w:rPr>
        <w:t xml:space="preserve">Name _____________________________________________________      </w:t>
      </w:r>
      <w:r w:rsidRPr="00E75EF9">
        <w:rPr>
          <w:rFonts w:ascii="Arial" w:eastAsia="Calibri" w:hAnsi="Arial" w:cs="Arial"/>
          <w:color w:val="001889"/>
          <w:kern w:val="0"/>
          <w:sz w:val="20"/>
          <w:szCs w:val="22"/>
          <w14:ligatures w14:val="none"/>
        </w:rPr>
        <w:t xml:space="preserve">Note: VAT Receipts should be included with all expense claims in the order listed </w:t>
      </w:r>
      <w:proofErr w:type="gramStart"/>
      <w:r w:rsidRPr="00E75EF9">
        <w:rPr>
          <w:rFonts w:ascii="Arial" w:eastAsia="Calibri" w:hAnsi="Arial" w:cs="Arial"/>
          <w:color w:val="001889"/>
          <w:kern w:val="0"/>
          <w:sz w:val="20"/>
          <w:szCs w:val="22"/>
          <w14:ligatures w14:val="none"/>
        </w:rPr>
        <w:t>below</w:t>
      </w:r>
      <w:proofErr w:type="gramEnd"/>
    </w:p>
    <w:p w14:paraId="5FD6A40C" w14:textId="77777777" w:rsidR="0092493A" w:rsidRPr="00E75EF9" w:rsidRDefault="0092493A" w:rsidP="00E75EF9">
      <w:pPr>
        <w:spacing w:after="200" w:line="276" w:lineRule="auto"/>
        <w:ind w:right="-643"/>
        <w:rPr>
          <w:rFonts w:ascii="Arial" w:eastAsia="Calibri" w:hAnsi="Arial" w:cs="Arial"/>
          <w:color w:val="001889"/>
          <w:kern w:val="0"/>
          <w:sz w:val="20"/>
          <w:szCs w:val="22"/>
          <w14:ligatures w14:val="non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6627"/>
        <w:gridCol w:w="1842"/>
        <w:gridCol w:w="1560"/>
        <w:gridCol w:w="1701"/>
        <w:gridCol w:w="1842"/>
      </w:tblGrid>
      <w:tr w:rsidR="00E75EF9" w:rsidRPr="00E75EF9" w14:paraId="09450A98" w14:textId="77777777" w:rsidTr="0033247D">
        <w:tc>
          <w:tcPr>
            <w:tcW w:w="1278" w:type="dxa"/>
            <w:vAlign w:val="center"/>
          </w:tcPr>
          <w:p w14:paraId="08DC6DB8"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Date</w:t>
            </w:r>
          </w:p>
        </w:tc>
        <w:tc>
          <w:tcPr>
            <w:tcW w:w="6627" w:type="dxa"/>
            <w:vAlign w:val="center"/>
          </w:tcPr>
          <w:p w14:paraId="0B69D37C"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Description/Activity</w:t>
            </w:r>
          </w:p>
        </w:tc>
        <w:tc>
          <w:tcPr>
            <w:tcW w:w="1842" w:type="dxa"/>
            <w:vAlign w:val="center"/>
          </w:tcPr>
          <w:p w14:paraId="75E2F2E4"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Net Amount</w:t>
            </w:r>
          </w:p>
        </w:tc>
        <w:tc>
          <w:tcPr>
            <w:tcW w:w="1560" w:type="dxa"/>
            <w:vAlign w:val="center"/>
          </w:tcPr>
          <w:p w14:paraId="1E8D1389"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VAT</w:t>
            </w:r>
          </w:p>
        </w:tc>
        <w:tc>
          <w:tcPr>
            <w:tcW w:w="1701" w:type="dxa"/>
            <w:vAlign w:val="center"/>
          </w:tcPr>
          <w:p w14:paraId="2533283E"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Total</w:t>
            </w:r>
          </w:p>
        </w:tc>
        <w:tc>
          <w:tcPr>
            <w:tcW w:w="1842" w:type="dxa"/>
            <w:shd w:val="pct10" w:color="auto" w:fill="auto"/>
            <w:vAlign w:val="center"/>
          </w:tcPr>
          <w:p w14:paraId="369B9237"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Sage Code (Office Use Only)</w:t>
            </w:r>
          </w:p>
        </w:tc>
      </w:tr>
      <w:tr w:rsidR="00E75EF9" w:rsidRPr="00E75EF9" w14:paraId="1EA8FBE1" w14:textId="77777777" w:rsidTr="0033247D">
        <w:trPr>
          <w:trHeight w:val="397"/>
        </w:trPr>
        <w:tc>
          <w:tcPr>
            <w:tcW w:w="1278" w:type="dxa"/>
            <w:vAlign w:val="center"/>
          </w:tcPr>
          <w:p w14:paraId="38B42F0D"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737DEAA6"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409FD5D8"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4EDB9CE7"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5A1F372A"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7A9419A6"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7259737F" w14:textId="77777777" w:rsidTr="0033247D">
        <w:trPr>
          <w:trHeight w:val="397"/>
        </w:trPr>
        <w:tc>
          <w:tcPr>
            <w:tcW w:w="1278" w:type="dxa"/>
            <w:vAlign w:val="center"/>
          </w:tcPr>
          <w:p w14:paraId="53D3A2E8"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791D72A6"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79C4385F"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77B38E44"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3E65CD5A"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6283B8E7"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691CE4EA" w14:textId="77777777" w:rsidTr="0033247D">
        <w:trPr>
          <w:trHeight w:val="397"/>
        </w:trPr>
        <w:tc>
          <w:tcPr>
            <w:tcW w:w="1278" w:type="dxa"/>
            <w:vAlign w:val="center"/>
          </w:tcPr>
          <w:p w14:paraId="6CB0B975"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52C7B41D"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5255AB0E"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3B900EDA"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2096A813"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4EBAA370"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55F6970D" w14:textId="77777777" w:rsidTr="0033247D">
        <w:trPr>
          <w:trHeight w:val="397"/>
        </w:trPr>
        <w:tc>
          <w:tcPr>
            <w:tcW w:w="1278" w:type="dxa"/>
            <w:vAlign w:val="center"/>
          </w:tcPr>
          <w:p w14:paraId="1486CE0F"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129BE241"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01439210"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18471701"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7A4A34C3"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0BD71969"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684721E6" w14:textId="77777777" w:rsidTr="0033247D">
        <w:trPr>
          <w:trHeight w:val="397"/>
        </w:trPr>
        <w:tc>
          <w:tcPr>
            <w:tcW w:w="1278" w:type="dxa"/>
            <w:vAlign w:val="center"/>
          </w:tcPr>
          <w:p w14:paraId="700DB99E"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5996D1D1"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09FC1CAA"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27E46227"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7F963513"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407F21F9"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00C4A212" w14:textId="77777777" w:rsidTr="0033247D">
        <w:trPr>
          <w:trHeight w:val="397"/>
        </w:trPr>
        <w:tc>
          <w:tcPr>
            <w:tcW w:w="1278" w:type="dxa"/>
            <w:vAlign w:val="center"/>
          </w:tcPr>
          <w:p w14:paraId="0BEC6999"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079BBB6C"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7C71D17B"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357E652E"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4CFC552D"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075C736C"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6AFD5837" w14:textId="77777777" w:rsidTr="0033247D">
        <w:trPr>
          <w:trHeight w:val="397"/>
        </w:trPr>
        <w:tc>
          <w:tcPr>
            <w:tcW w:w="1278" w:type="dxa"/>
            <w:vAlign w:val="center"/>
          </w:tcPr>
          <w:p w14:paraId="128A49FC"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5E44F9ED"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1734D2FA"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608E82C1"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563B2052"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3553CD72"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1E4B3C32" w14:textId="77777777" w:rsidTr="0033247D">
        <w:trPr>
          <w:trHeight w:val="397"/>
        </w:trPr>
        <w:tc>
          <w:tcPr>
            <w:tcW w:w="1278" w:type="dxa"/>
            <w:vAlign w:val="center"/>
          </w:tcPr>
          <w:p w14:paraId="142E32F7"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6627" w:type="dxa"/>
            <w:vAlign w:val="center"/>
          </w:tcPr>
          <w:p w14:paraId="4B65E04F"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vAlign w:val="center"/>
          </w:tcPr>
          <w:p w14:paraId="1E5B017B"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560" w:type="dxa"/>
            <w:vAlign w:val="center"/>
          </w:tcPr>
          <w:p w14:paraId="245489CD"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701" w:type="dxa"/>
            <w:vAlign w:val="center"/>
          </w:tcPr>
          <w:p w14:paraId="5A374733"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c>
          <w:tcPr>
            <w:tcW w:w="1842" w:type="dxa"/>
            <w:shd w:val="pct10" w:color="auto" w:fill="auto"/>
            <w:vAlign w:val="center"/>
          </w:tcPr>
          <w:p w14:paraId="15B3658B"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tc>
      </w:tr>
      <w:tr w:rsidR="00E75EF9" w:rsidRPr="00E75EF9" w14:paraId="05D2BC87" w14:textId="77777777" w:rsidTr="0033247D">
        <w:trPr>
          <w:trHeight w:val="397"/>
        </w:trPr>
        <w:tc>
          <w:tcPr>
            <w:tcW w:w="1278" w:type="dxa"/>
            <w:vAlign w:val="center"/>
          </w:tcPr>
          <w:p w14:paraId="47511491"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r w:rsidRPr="00E75EF9">
              <w:rPr>
                <w:rFonts w:ascii="Arial" w:eastAsia="Calibri" w:hAnsi="Arial" w:cs="Arial"/>
                <w:b/>
                <w:color w:val="001889"/>
                <w:kern w:val="0"/>
                <w:sz w:val="20"/>
                <w:szCs w:val="22"/>
                <w14:ligatures w14:val="none"/>
              </w:rPr>
              <w:t>Total</w:t>
            </w:r>
          </w:p>
        </w:tc>
        <w:tc>
          <w:tcPr>
            <w:tcW w:w="6627" w:type="dxa"/>
            <w:vAlign w:val="center"/>
          </w:tcPr>
          <w:p w14:paraId="0C8EE6AE"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p>
        </w:tc>
        <w:tc>
          <w:tcPr>
            <w:tcW w:w="1842" w:type="dxa"/>
            <w:vAlign w:val="center"/>
          </w:tcPr>
          <w:p w14:paraId="6134592E"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p>
        </w:tc>
        <w:tc>
          <w:tcPr>
            <w:tcW w:w="1560" w:type="dxa"/>
            <w:vAlign w:val="center"/>
          </w:tcPr>
          <w:p w14:paraId="304E2DDA"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p>
        </w:tc>
        <w:tc>
          <w:tcPr>
            <w:tcW w:w="1701" w:type="dxa"/>
            <w:vAlign w:val="center"/>
          </w:tcPr>
          <w:p w14:paraId="4241CC80"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p>
        </w:tc>
        <w:tc>
          <w:tcPr>
            <w:tcW w:w="1842" w:type="dxa"/>
            <w:shd w:val="pct10" w:color="auto" w:fill="auto"/>
            <w:vAlign w:val="center"/>
          </w:tcPr>
          <w:p w14:paraId="714F2F33" w14:textId="77777777" w:rsidR="00E75EF9" w:rsidRPr="00E75EF9" w:rsidRDefault="00E75EF9" w:rsidP="00E75EF9">
            <w:pPr>
              <w:spacing w:after="200" w:line="276" w:lineRule="auto"/>
              <w:rPr>
                <w:rFonts w:ascii="Arial" w:eastAsia="Calibri" w:hAnsi="Arial" w:cs="Arial"/>
                <w:b/>
                <w:color w:val="001889"/>
                <w:kern w:val="0"/>
                <w:sz w:val="20"/>
                <w:szCs w:val="22"/>
                <w14:ligatures w14:val="none"/>
              </w:rPr>
            </w:pPr>
          </w:p>
        </w:tc>
      </w:tr>
    </w:tbl>
    <w:p w14:paraId="00974A68"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p>
    <w:p w14:paraId="470E3692" w14:textId="77777777" w:rsidR="00E75EF9" w:rsidRPr="00E75EF9" w:rsidRDefault="00E75EF9" w:rsidP="00E75EF9">
      <w:pPr>
        <w:spacing w:after="200" w:line="276" w:lineRule="auto"/>
        <w:rPr>
          <w:rFonts w:ascii="Arial" w:eastAsia="Calibri" w:hAnsi="Arial" w:cs="Arial"/>
          <w:color w:val="001889"/>
          <w:kern w:val="0"/>
          <w:sz w:val="20"/>
          <w:szCs w:val="22"/>
          <w14:ligatures w14:val="none"/>
        </w:rPr>
      </w:pPr>
      <w:r w:rsidRPr="00E75EF9">
        <w:rPr>
          <w:rFonts w:ascii="Arial" w:eastAsia="Calibri" w:hAnsi="Arial" w:cs="Arial"/>
          <w:b/>
          <w:i/>
          <w:color w:val="001889"/>
          <w:kern w:val="0"/>
          <w:sz w:val="20"/>
          <w:szCs w:val="22"/>
          <w14:ligatures w14:val="none"/>
        </w:rPr>
        <w:t>Claimed by:</w:t>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t>Name:</w:t>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t>Signature:</w:t>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t>Date:</w:t>
      </w:r>
    </w:p>
    <w:p w14:paraId="07506120" w14:textId="77777777" w:rsidR="00E75EF9" w:rsidRPr="00E75EF9" w:rsidRDefault="00E75EF9" w:rsidP="00E75EF9">
      <w:pPr>
        <w:spacing w:after="200" w:line="276" w:lineRule="auto"/>
        <w:rPr>
          <w:rFonts w:ascii="Arial" w:eastAsia="Calibri" w:hAnsi="Arial" w:cs="Arial"/>
          <w:b/>
          <w:i/>
          <w:color w:val="001889"/>
          <w:kern w:val="0"/>
          <w:sz w:val="20"/>
          <w:szCs w:val="22"/>
          <w14:ligatures w14:val="none"/>
        </w:rPr>
      </w:pP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r>
      <w:r w:rsidRPr="00E75EF9">
        <w:rPr>
          <w:rFonts w:ascii="Arial" w:eastAsia="Calibri" w:hAnsi="Arial" w:cs="Arial"/>
          <w:color w:val="001889"/>
          <w:kern w:val="0"/>
          <w:sz w:val="20"/>
          <w:szCs w:val="22"/>
          <w14:ligatures w14:val="none"/>
        </w:rPr>
        <w:tab/>
        <w:t>Email:</w:t>
      </w:r>
    </w:p>
    <w:p w14:paraId="4E90642E" w14:textId="77777777" w:rsidR="00187E8A" w:rsidRDefault="00E75EF9" w:rsidP="00E75EF9">
      <w:pPr>
        <w:spacing w:after="200" w:line="276" w:lineRule="auto"/>
        <w:rPr>
          <w:rFonts w:ascii="Arial" w:eastAsia="Calibri" w:hAnsi="Arial" w:cs="Arial"/>
          <w:b/>
          <w:i/>
          <w:color w:val="001889"/>
          <w:kern w:val="0"/>
          <w:sz w:val="20"/>
          <w:szCs w:val="22"/>
          <w14:ligatures w14:val="none"/>
        </w:rPr>
      </w:pPr>
      <w:r w:rsidRPr="00E75EF9">
        <w:rPr>
          <w:rFonts w:ascii="Arial" w:eastAsia="Calibri" w:hAnsi="Arial" w:cs="Arial"/>
          <w:b/>
          <w:i/>
          <w:color w:val="001889"/>
          <w:kern w:val="0"/>
          <w:sz w:val="20"/>
          <w:szCs w:val="22"/>
          <w14:ligatures w14:val="none"/>
        </w:rPr>
        <w:t>Payee (if different from above):</w:t>
      </w:r>
    </w:p>
    <w:p w14:paraId="6307DF13" w14:textId="48390562" w:rsidR="00E75EF9" w:rsidRPr="00E75EF9" w:rsidRDefault="00E75EF9" w:rsidP="00E75EF9">
      <w:pPr>
        <w:spacing w:after="200" w:line="276" w:lineRule="auto"/>
        <w:rPr>
          <w:rFonts w:ascii="Arial" w:eastAsia="Calibri" w:hAnsi="Arial" w:cs="Arial"/>
          <w:b/>
          <w:i/>
          <w:color w:val="001889"/>
          <w:kern w:val="0"/>
          <w:sz w:val="20"/>
          <w:szCs w:val="22"/>
          <w14:ligatures w14:val="none"/>
        </w:rPr>
      </w:pPr>
      <w:r w:rsidRPr="00E75EF9">
        <w:rPr>
          <w:rFonts w:ascii="Arial" w:eastAsia="Calibri" w:hAnsi="Arial" w:cs="Arial"/>
          <w:b/>
          <w:i/>
          <w:color w:val="001889"/>
          <w:kern w:val="0"/>
          <w:sz w:val="20"/>
          <w:szCs w:val="22"/>
          <w14:ligatures w14:val="none"/>
        </w:rPr>
        <w:t xml:space="preserve">To be paid by BACS please supply: </w:t>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t xml:space="preserve">Name on the Account:   </w:t>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p>
    <w:p w14:paraId="6F3E73E9" w14:textId="090ED7BC" w:rsidR="00A070B7" w:rsidRPr="00E75EF9" w:rsidRDefault="00E75EF9" w:rsidP="0092493A">
      <w:pPr>
        <w:spacing w:after="200" w:line="276" w:lineRule="auto"/>
        <w:ind w:left="3600" w:firstLine="720"/>
        <w:rPr>
          <w:rFonts w:ascii="Arial" w:hAnsi="Arial" w:cs="Arial"/>
          <w:color w:val="001889"/>
          <w:sz w:val="20"/>
          <w:szCs w:val="20"/>
        </w:rPr>
      </w:pPr>
      <w:r w:rsidRPr="00E75EF9">
        <w:rPr>
          <w:rFonts w:ascii="Arial" w:eastAsia="Calibri" w:hAnsi="Arial" w:cs="Arial"/>
          <w:b/>
          <w:i/>
          <w:color w:val="001889"/>
          <w:kern w:val="0"/>
          <w:sz w:val="20"/>
          <w:szCs w:val="22"/>
          <w14:ligatures w14:val="none"/>
        </w:rPr>
        <w:t>Bank Account No:</w:t>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r>
      <w:r w:rsidRPr="00E75EF9">
        <w:rPr>
          <w:rFonts w:ascii="Arial" w:eastAsia="Calibri" w:hAnsi="Arial" w:cs="Arial"/>
          <w:b/>
          <w:i/>
          <w:color w:val="001889"/>
          <w:kern w:val="0"/>
          <w:sz w:val="20"/>
          <w:szCs w:val="22"/>
          <w14:ligatures w14:val="none"/>
        </w:rPr>
        <w:tab/>
        <w:t>Sort code:</w:t>
      </w:r>
    </w:p>
    <w:sectPr w:rsidR="00A070B7" w:rsidRPr="00E75EF9" w:rsidSect="0092493A">
      <w:pgSz w:w="16838" w:h="11906" w:orient="landscape"/>
      <w:pgMar w:top="1440" w:right="1440" w:bottom="454"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44B0" w14:textId="77777777" w:rsidR="00A4776E" w:rsidRDefault="00A4776E" w:rsidP="00A070B7">
      <w:r>
        <w:separator/>
      </w:r>
    </w:p>
  </w:endnote>
  <w:endnote w:type="continuationSeparator" w:id="0">
    <w:p w14:paraId="2B78B08D" w14:textId="77777777" w:rsidR="00A4776E" w:rsidRDefault="00A4776E" w:rsidP="00A0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191A" w14:textId="007DD650" w:rsidR="00C6406A" w:rsidRDefault="00C6406A">
    <w:pPr>
      <w:pStyle w:val="Footer"/>
    </w:pPr>
    <w:r>
      <w:rPr>
        <w:noProof/>
      </w:rPr>
      <w:drawing>
        <wp:anchor distT="0" distB="0" distL="114300" distR="114300" simplePos="0" relativeHeight="251666432" behindDoc="0" locked="0" layoutInCell="1" allowOverlap="1" wp14:anchorId="769362B2" wp14:editId="0E050B6D">
          <wp:simplePos x="0" y="0"/>
          <wp:positionH relativeFrom="column">
            <wp:posOffset>4495800</wp:posOffset>
          </wp:positionH>
          <wp:positionV relativeFrom="page">
            <wp:posOffset>8621395</wp:posOffset>
          </wp:positionV>
          <wp:extent cx="2134235" cy="2051050"/>
          <wp:effectExtent l="0" t="0" r="0" b="6350"/>
          <wp:wrapThrough wrapText="bothSides">
            <wp:wrapPolygon edited="0">
              <wp:start x="0" y="0"/>
              <wp:lineTo x="0" y="21466"/>
              <wp:lineTo x="21401" y="21466"/>
              <wp:lineTo x="21401" y="0"/>
              <wp:lineTo x="0" y="0"/>
            </wp:wrapPolygon>
          </wp:wrapThrough>
          <wp:docPr id="1164315520" name="Picture 1164315520" descr="A colorful logo with a circle and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88966" name="Picture 3" descr="A colorful logo with a circle and triang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4235"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BA01" w14:textId="43C16134" w:rsidR="00524D8F" w:rsidRPr="007D5F79" w:rsidRDefault="00524D8F" w:rsidP="00524D8F">
    <w:pPr>
      <w:spacing w:line="276" w:lineRule="auto"/>
      <w:rPr>
        <w:rFonts w:ascii="Arial" w:hAnsi="Arial" w:cs="Arial"/>
        <w:color w:val="001889"/>
        <w:sz w:val="16"/>
        <w:szCs w:val="16"/>
      </w:rPr>
    </w:pPr>
    <w:r w:rsidRPr="007D5F79">
      <w:rPr>
        <w:rFonts w:ascii="Arial" w:hAnsi="Arial" w:cs="Arial"/>
        <w:color w:val="001889"/>
        <w:sz w:val="16"/>
        <w:szCs w:val="16"/>
      </w:rPr>
      <w:t>British Healthcare Business Intelligence Association</w:t>
    </w:r>
  </w:p>
  <w:p w14:paraId="412F762E" w14:textId="77777777" w:rsidR="00524D8F" w:rsidRPr="007D5F79" w:rsidRDefault="00524D8F" w:rsidP="00524D8F">
    <w:pPr>
      <w:spacing w:line="276" w:lineRule="auto"/>
      <w:rPr>
        <w:rFonts w:ascii="Arial" w:hAnsi="Arial" w:cs="Arial"/>
        <w:color w:val="001889"/>
        <w:sz w:val="16"/>
        <w:szCs w:val="16"/>
      </w:rPr>
    </w:pPr>
    <w:r w:rsidRPr="007D5F79">
      <w:rPr>
        <w:rFonts w:ascii="Arial" w:hAnsi="Arial" w:cs="Arial"/>
        <w:color w:val="001889"/>
        <w:sz w:val="16"/>
        <w:szCs w:val="16"/>
      </w:rPr>
      <w:t>St James House, Vicar Lane, Sheffield, S1 2EX</w:t>
    </w:r>
  </w:p>
  <w:p w14:paraId="54D5A491" w14:textId="77777777" w:rsidR="00524D8F" w:rsidRPr="007D5F79" w:rsidRDefault="00524D8F" w:rsidP="00524D8F">
    <w:pPr>
      <w:spacing w:line="276" w:lineRule="auto"/>
      <w:rPr>
        <w:rFonts w:ascii="Arial" w:hAnsi="Arial" w:cs="Arial"/>
        <w:color w:val="001889"/>
        <w:sz w:val="16"/>
        <w:szCs w:val="16"/>
      </w:rPr>
    </w:pPr>
    <w:r w:rsidRPr="007D5F79">
      <w:rPr>
        <w:rFonts w:ascii="Arial" w:hAnsi="Arial" w:cs="Arial"/>
        <w:color w:val="001889"/>
        <w:sz w:val="16"/>
        <w:szCs w:val="16"/>
      </w:rPr>
      <w:t xml:space="preserve">t: 01727 896085 • </w:t>
    </w:r>
    <w:proofErr w:type="gramStart"/>
    <w:r w:rsidRPr="007D5F79">
      <w:rPr>
        <w:rFonts w:ascii="Arial" w:hAnsi="Arial" w:cs="Arial"/>
        <w:color w:val="001889"/>
        <w:sz w:val="16"/>
        <w:szCs w:val="16"/>
      </w:rPr>
      <w:t>admin@bhbia.org.uk  •</w:t>
    </w:r>
    <w:proofErr w:type="gramEnd"/>
    <w:r w:rsidRPr="007D5F79">
      <w:rPr>
        <w:rFonts w:ascii="Arial" w:hAnsi="Arial" w:cs="Arial"/>
        <w:color w:val="001889"/>
        <w:sz w:val="16"/>
        <w:szCs w:val="16"/>
      </w:rPr>
      <w:t xml:space="preserve"> www.bhbia.org.uk </w:t>
    </w:r>
  </w:p>
  <w:p w14:paraId="00DBB12B" w14:textId="43C16134" w:rsidR="00524D8F" w:rsidRDefault="00524D8F" w:rsidP="00524D8F">
    <w:pPr>
      <w:pStyle w:val="Footer"/>
    </w:pPr>
    <w:r w:rsidRPr="007D5F79">
      <w:rPr>
        <w:rFonts w:ascii="Arial" w:hAnsi="Arial" w:cs="Arial"/>
        <w:color w:val="001889"/>
        <w:sz w:val="16"/>
        <w:szCs w:val="16"/>
      </w:rPr>
      <w:t>A Private Limited Company Registered in England and Wales No: 9244455</w:t>
    </w:r>
    <w:r>
      <w:rPr>
        <w:noProof/>
      </w:rPr>
      <w:drawing>
        <wp:anchor distT="0" distB="0" distL="114300" distR="114300" simplePos="0" relativeHeight="251662336" behindDoc="0" locked="0" layoutInCell="1" allowOverlap="1" wp14:anchorId="35A55B25" wp14:editId="4371CE39">
          <wp:simplePos x="0" y="0"/>
          <wp:positionH relativeFrom="column">
            <wp:posOffset>4500880</wp:posOffset>
          </wp:positionH>
          <wp:positionV relativeFrom="page">
            <wp:posOffset>8621395</wp:posOffset>
          </wp:positionV>
          <wp:extent cx="2134235" cy="2051050"/>
          <wp:effectExtent l="0" t="0" r="0" b="6350"/>
          <wp:wrapThrough wrapText="bothSides">
            <wp:wrapPolygon edited="0">
              <wp:start x="0" y="0"/>
              <wp:lineTo x="0" y="21466"/>
              <wp:lineTo x="21401" y="21466"/>
              <wp:lineTo x="21401" y="0"/>
              <wp:lineTo x="0" y="0"/>
            </wp:wrapPolygon>
          </wp:wrapThrough>
          <wp:docPr id="671137125" name="Picture 671137125" descr="A colorful logo with a circle and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88966" name="Picture 3" descr="A colorful logo with a circle and triang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4235"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747D" w14:textId="77777777" w:rsidR="00A4776E" w:rsidRDefault="00A4776E" w:rsidP="00A070B7">
      <w:r>
        <w:separator/>
      </w:r>
    </w:p>
  </w:footnote>
  <w:footnote w:type="continuationSeparator" w:id="0">
    <w:p w14:paraId="3204543D" w14:textId="77777777" w:rsidR="00A4776E" w:rsidRDefault="00A4776E" w:rsidP="00A0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46D7" w14:textId="62FDF65B" w:rsidR="00552AF8" w:rsidRDefault="00B639A2">
    <w:pPr>
      <w:pStyle w:val="Header"/>
    </w:pPr>
    <w:r>
      <w:rPr>
        <w:noProof/>
      </w:rPr>
      <w:drawing>
        <wp:anchor distT="0" distB="0" distL="114300" distR="114300" simplePos="0" relativeHeight="251664384" behindDoc="1" locked="0" layoutInCell="1" allowOverlap="1" wp14:anchorId="43E0DEA5" wp14:editId="4C685768">
          <wp:simplePos x="0" y="0"/>
          <wp:positionH relativeFrom="column">
            <wp:posOffset>-881380</wp:posOffset>
          </wp:positionH>
          <wp:positionV relativeFrom="page">
            <wp:posOffset>10795</wp:posOffset>
          </wp:positionV>
          <wp:extent cx="7520940" cy="1642745"/>
          <wp:effectExtent l="0" t="0" r="0" b="0"/>
          <wp:wrapSquare wrapText="bothSides"/>
          <wp:docPr id="2106030700" name="Picture 2106030700"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28860" name="Picture 2" descr="A close-up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0940" cy="1642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916"/>
    <w:multiLevelType w:val="hybridMultilevel"/>
    <w:tmpl w:val="D9EE114C"/>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20FD5"/>
    <w:multiLevelType w:val="hybridMultilevel"/>
    <w:tmpl w:val="FDE61B16"/>
    <w:lvl w:ilvl="0" w:tplc="50B6C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316A8"/>
    <w:multiLevelType w:val="hybridMultilevel"/>
    <w:tmpl w:val="2684131E"/>
    <w:lvl w:ilvl="0" w:tplc="EAF42156">
      <w:start w:val="1"/>
      <w:numFmt w:val="bullet"/>
      <w:lvlText w:val=""/>
      <w:lvlJc w:val="left"/>
      <w:pPr>
        <w:ind w:left="1572" w:hanging="360"/>
      </w:pPr>
      <w:rPr>
        <w:rFonts w:ascii="Symbol" w:hAnsi="Symbol" w:hint="default"/>
        <w:color w:val="EE0093"/>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1C300EFE"/>
    <w:multiLevelType w:val="hybridMultilevel"/>
    <w:tmpl w:val="D8280B04"/>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87E4F"/>
    <w:multiLevelType w:val="hybridMultilevel"/>
    <w:tmpl w:val="D5EC72FE"/>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C5258"/>
    <w:multiLevelType w:val="hybridMultilevel"/>
    <w:tmpl w:val="9544D03E"/>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03A81"/>
    <w:multiLevelType w:val="hybridMultilevel"/>
    <w:tmpl w:val="CE506590"/>
    <w:lvl w:ilvl="0" w:tplc="B680C0E4">
      <w:start w:val="1"/>
      <w:numFmt w:val="bullet"/>
      <w:lvlText w:val=""/>
      <w:lvlJc w:val="left"/>
      <w:pPr>
        <w:ind w:left="1146" w:hanging="360"/>
      </w:pPr>
      <w:rPr>
        <w:rFonts w:ascii="Symbol" w:hAnsi="Symbol" w:hint="default"/>
        <w:color w:val="EE009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E176560"/>
    <w:multiLevelType w:val="hybridMultilevel"/>
    <w:tmpl w:val="A6CEC9D6"/>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81BD8"/>
    <w:multiLevelType w:val="hybridMultilevel"/>
    <w:tmpl w:val="C7629B8A"/>
    <w:lvl w:ilvl="0" w:tplc="EAF42156">
      <w:start w:val="1"/>
      <w:numFmt w:val="bullet"/>
      <w:lvlText w:val=""/>
      <w:lvlJc w:val="left"/>
      <w:pPr>
        <w:ind w:left="720" w:hanging="360"/>
      </w:pPr>
      <w:rPr>
        <w:rFonts w:ascii="Symbol" w:hAnsi="Symbol" w:hint="default"/>
        <w:color w:val="EE009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95880"/>
    <w:multiLevelType w:val="hybridMultilevel"/>
    <w:tmpl w:val="EACE9578"/>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E2A89"/>
    <w:multiLevelType w:val="hybridMultilevel"/>
    <w:tmpl w:val="65FAB798"/>
    <w:lvl w:ilvl="0" w:tplc="D9BA4686">
      <w:start w:val="1"/>
      <w:numFmt w:val="decimal"/>
      <w:lvlText w:val="%1."/>
      <w:lvlJc w:val="left"/>
      <w:pPr>
        <w:ind w:left="720" w:hanging="360"/>
      </w:pPr>
      <w:rPr>
        <w:rFonts w:hint="default"/>
        <w:color w:val="EE009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955110"/>
    <w:multiLevelType w:val="hybridMultilevel"/>
    <w:tmpl w:val="20E8ECF0"/>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113CD"/>
    <w:multiLevelType w:val="hybridMultilevel"/>
    <w:tmpl w:val="A69081D0"/>
    <w:lvl w:ilvl="0" w:tplc="B680C0E4">
      <w:start w:val="1"/>
      <w:numFmt w:val="bullet"/>
      <w:lvlText w:val=""/>
      <w:lvlJc w:val="left"/>
      <w:pPr>
        <w:ind w:left="1572" w:hanging="360"/>
      </w:pPr>
      <w:rPr>
        <w:rFonts w:ascii="Symbol" w:hAnsi="Symbol" w:hint="default"/>
        <w:color w:val="EE009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75754BC"/>
    <w:multiLevelType w:val="hybridMultilevel"/>
    <w:tmpl w:val="CEBED992"/>
    <w:lvl w:ilvl="0" w:tplc="EAF42156">
      <w:start w:val="1"/>
      <w:numFmt w:val="bullet"/>
      <w:lvlText w:val=""/>
      <w:lvlJc w:val="left"/>
      <w:pPr>
        <w:ind w:left="1146" w:hanging="360"/>
      </w:pPr>
      <w:rPr>
        <w:rFonts w:ascii="Symbol" w:hAnsi="Symbol" w:hint="default"/>
        <w:color w:val="EE009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7F15CB0"/>
    <w:multiLevelType w:val="hybridMultilevel"/>
    <w:tmpl w:val="1A826248"/>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C6432"/>
    <w:multiLevelType w:val="hybridMultilevel"/>
    <w:tmpl w:val="40207AC2"/>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D7093"/>
    <w:multiLevelType w:val="hybridMultilevel"/>
    <w:tmpl w:val="00D42258"/>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899249">
    <w:abstractNumId w:val="6"/>
  </w:num>
  <w:num w:numId="2" w16cid:durableId="1654144713">
    <w:abstractNumId w:val="12"/>
  </w:num>
  <w:num w:numId="3" w16cid:durableId="1374421892">
    <w:abstractNumId w:val="2"/>
  </w:num>
  <w:num w:numId="4" w16cid:durableId="2064060647">
    <w:abstractNumId w:val="7"/>
  </w:num>
  <w:num w:numId="5" w16cid:durableId="496119556">
    <w:abstractNumId w:val="16"/>
  </w:num>
  <w:num w:numId="6" w16cid:durableId="131140706">
    <w:abstractNumId w:val="9"/>
  </w:num>
  <w:num w:numId="7" w16cid:durableId="2011908124">
    <w:abstractNumId w:val="4"/>
  </w:num>
  <w:num w:numId="8" w16cid:durableId="327490208">
    <w:abstractNumId w:val="5"/>
  </w:num>
  <w:num w:numId="9" w16cid:durableId="270627911">
    <w:abstractNumId w:val="3"/>
  </w:num>
  <w:num w:numId="10" w16cid:durableId="1447577233">
    <w:abstractNumId w:val="13"/>
  </w:num>
  <w:num w:numId="11" w16cid:durableId="306478295">
    <w:abstractNumId w:val="1"/>
  </w:num>
  <w:num w:numId="12" w16cid:durableId="189729051">
    <w:abstractNumId w:val="10"/>
  </w:num>
  <w:num w:numId="13" w16cid:durableId="1782646336">
    <w:abstractNumId w:val="14"/>
  </w:num>
  <w:num w:numId="14" w16cid:durableId="165170180">
    <w:abstractNumId w:val="15"/>
  </w:num>
  <w:num w:numId="15" w16cid:durableId="712342353">
    <w:abstractNumId w:val="8"/>
  </w:num>
  <w:num w:numId="16" w16cid:durableId="1252082154">
    <w:abstractNumId w:val="0"/>
  </w:num>
  <w:num w:numId="17" w16cid:durableId="2113352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10"/>
    <w:rsid w:val="00013744"/>
    <w:rsid w:val="00080850"/>
    <w:rsid w:val="000C2AA1"/>
    <w:rsid w:val="001250DE"/>
    <w:rsid w:val="00187E8A"/>
    <w:rsid w:val="002146F3"/>
    <w:rsid w:val="00243239"/>
    <w:rsid w:val="00282920"/>
    <w:rsid w:val="003A257A"/>
    <w:rsid w:val="003F0618"/>
    <w:rsid w:val="00440E8E"/>
    <w:rsid w:val="004520F3"/>
    <w:rsid w:val="004837EF"/>
    <w:rsid w:val="00524D8F"/>
    <w:rsid w:val="00552AF8"/>
    <w:rsid w:val="00666E36"/>
    <w:rsid w:val="006C6067"/>
    <w:rsid w:val="00761166"/>
    <w:rsid w:val="00787DBF"/>
    <w:rsid w:val="007B118C"/>
    <w:rsid w:val="007D5F79"/>
    <w:rsid w:val="008868E1"/>
    <w:rsid w:val="008C5206"/>
    <w:rsid w:val="0091570F"/>
    <w:rsid w:val="0092493A"/>
    <w:rsid w:val="00937E47"/>
    <w:rsid w:val="00962011"/>
    <w:rsid w:val="00A070B7"/>
    <w:rsid w:val="00A33F1C"/>
    <w:rsid w:val="00A4776E"/>
    <w:rsid w:val="00AE1F1C"/>
    <w:rsid w:val="00B55875"/>
    <w:rsid w:val="00B639A2"/>
    <w:rsid w:val="00C6406A"/>
    <w:rsid w:val="00C70A5E"/>
    <w:rsid w:val="00CC5710"/>
    <w:rsid w:val="00CD3CEF"/>
    <w:rsid w:val="00E75EF9"/>
    <w:rsid w:val="00F55C28"/>
    <w:rsid w:val="00F9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A680"/>
  <w15:chartTrackingRefBased/>
  <w15:docId w15:val="{EC7F7C02-EFA9-4144-B7E1-1B2695A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0B7"/>
    <w:pPr>
      <w:tabs>
        <w:tab w:val="center" w:pos="4513"/>
        <w:tab w:val="right" w:pos="9026"/>
      </w:tabs>
    </w:pPr>
  </w:style>
  <w:style w:type="character" w:customStyle="1" w:styleId="HeaderChar">
    <w:name w:val="Header Char"/>
    <w:basedOn w:val="DefaultParagraphFont"/>
    <w:link w:val="Header"/>
    <w:uiPriority w:val="99"/>
    <w:rsid w:val="00A070B7"/>
  </w:style>
  <w:style w:type="paragraph" w:styleId="Footer">
    <w:name w:val="footer"/>
    <w:basedOn w:val="Normal"/>
    <w:link w:val="FooterChar"/>
    <w:uiPriority w:val="99"/>
    <w:unhideWhenUsed/>
    <w:rsid w:val="00A070B7"/>
    <w:pPr>
      <w:tabs>
        <w:tab w:val="center" w:pos="4513"/>
        <w:tab w:val="right" w:pos="9026"/>
      </w:tabs>
    </w:pPr>
  </w:style>
  <w:style w:type="character" w:customStyle="1" w:styleId="FooterChar">
    <w:name w:val="Footer Char"/>
    <w:basedOn w:val="DefaultParagraphFont"/>
    <w:link w:val="Footer"/>
    <w:uiPriority w:val="99"/>
    <w:rsid w:val="00A070B7"/>
  </w:style>
  <w:style w:type="paragraph" w:styleId="ListParagraph">
    <w:name w:val="List Paragraph"/>
    <w:basedOn w:val="Normal"/>
    <w:uiPriority w:val="34"/>
    <w:qFormat/>
    <w:rsid w:val="00CD3CEF"/>
    <w:pPr>
      <w:ind w:left="720"/>
      <w:contextualSpacing/>
    </w:pPr>
  </w:style>
  <w:style w:type="character" w:styleId="Hyperlink">
    <w:name w:val="Hyperlink"/>
    <w:basedOn w:val="DefaultParagraphFont"/>
    <w:uiPriority w:val="99"/>
    <w:unhideWhenUsed/>
    <w:rsid w:val="00CD3CEF"/>
    <w:rPr>
      <w:color w:val="001889" w:themeColor="hyperlink"/>
      <w:u w:val="single"/>
    </w:rPr>
  </w:style>
  <w:style w:type="character" w:styleId="UnresolvedMention">
    <w:name w:val="Unresolved Mention"/>
    <w:basedOn w:val="DefaultParagraphFont"/>
    <w:uiPriority w:val="99"/>
    <w:semiHidden/>
    <w:unhideWhenUsed/>
    <w:rsid w:val="00CD3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bhbi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1889"/>
      </a:accent1>
      <a:accent2>
        <a:srgbClr val="3832F1"/>
      </a:accent2>
      <a:accent3>
        <a:srgbClr val="00CACF"/>
      </a:accent3>
      <a:accent4>
        <a:srgbClr val="EE0093"/>
      </a:accent4>
      <a:accent5>
        <a:srgbClr val="3832F1"/>
      </a:accent5>
      <a:accent6>
        <a:srgbClr val="00CACF"/>
      </a:accent6>
      <a:hlink>
        <a:srgbClr val="001889"/>
      </a:hlink>
      <a:folHlink>
        <a:srgbClr val="3830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Parker</dc:creator>
  <cp:keywords/>
  <dc:description/>
  <cp:lastModifiedBy>Tina Clayton</cp:lastModifiedBy>
  <cp:revision>33</cp:revision>
  <cp:lastPrinted>2023-11-28T14:48:00Z</cp:lastPrinted>
  <dcterms:created xsi:type="dcterms:W3CDTF">2023-11-28T14:13:00Z</dcterms:created>
  <dcterms:modified xsi:type="dcterms:W3CDTF">2023-11-28T14:48:00Z</dcterms:modified>
</cp:coreProperties>
</file>